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77543" w:rsidRPr="009A24D3" w:rsidRDefault="00877543">
      <w:pPr>
        <w:spacing w:line="360" w:lineRule="auto"/>
        <w:rPr>
          <w:rFonts w:ascii="Arial" w:eastAsia="Arial Narrow" w:hAnsi="Arial" w:cs="Arial"/>
          <w:sz w:val="24"/>
          <w:szCs w:val="24"/>
        </w:rPr>
      </w:pPr>
    </w:p>
    <w:p w14:paraId="00000002" w14:textId="77777777" w:rsidR="00877543" w:rsidRPr="009A24D3" w:rsidRDefault="008775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Arial" w:eastAsia="Arial Narrow" w:hAnsi="Arial" w:cs="Arial"/>
          <w:sz w:val="24"/>
          <w:szCs w:val="24"/>
        </w:rPr>
      </w:pPr>
    </w:p>
    <w:p w14:paraId="00000003" w14:textId="77777777" w:rsidR="00877543" w:rsidRPr="009A24D3" w:rsidRDefault="00AB3A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ascii="Arial" w:eastAsia="Arial Narrow" w:hAnsi="Arial" w:cs="Arial"/>
          <w:b/>
          <w:sz w:val="24"/>
          <w:szCs w:val="24"/>
        </w:rPr>
      </w:pPr>
      <w:r w:rsidRPr="009A24D3">
        <w:rPr>
          <w:rFonts w:ascii="Arial" w:eastAsia="Arial Narrow" w:hAnsi="Arial" w:cs="Arial"/>
          <w:b/>
          <w:sz w:val="24"/>
          <w:szCs w:val="24"/>
        </w:rPr>
        <w:t>INSTRUÇÕES PARA O PESQUISADOR</w:t>
      </w:r>
    </w:p>
    <w:p w14:paraId="00000004" w14:textId="77777777" w:rsidR="00877543" w:rsidRPr="009A24D3" w:rsidRDefault="008775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ascii="Arial" w:eastAsia="Arial Narrow" w:hAnsi="Arial" w:cs="Arial"/>
          <w:b/>
          <w:sz w:val="24"/>
          <w:szCs w:val="24"/>
        </w:rPr>
      </w:pPr>
    </w:p>
    <w:p w14:paraId="00000005" w14:textId="77777777" w:rsidR="00877543" w:rsidRPr="009A24D3" w:rsidRDefault="00877543">
      <w:pPr>
        <w:spacing w:line="360" w:lineRule="auto"/>
        <w:jc w:val="both"/>
        <w:rPr>
          <w:rFonts w:ascii="Arial" w:eastAsia="Arial Narrow" w:hAnsi="Arial" w:cs="Arial"/>
          <w:sz w:val="24"/>
          <w:szCs w:val="24"/>
        </w:rPr>
      </w:pPr>
    </w:p>
    <w:p w14:paraId="00000006" w14:textId="77777777" w:rsidR="00877543" w:rsidRPr="009A24D3" w:rsidRDefault="00AB3A5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56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 w:rsidRPr="009A24D3"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ab/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 xml:space="preserve">Acordo de Parceria é o instrumento jurídico envolvendo instituições públicas e privadas para realização de atividades </w:t>
      </w:r>
      <w:r w:rsidRPr="009A24D3">
        <w:rPr>
          <w:rFonts w:ascii="Arial" w:eastAsia="Arial Narrow" w:hAnsi="Arial" w:cs="Arial"/>
          <w:b/>
          <w:color w:val="000000"/>
          <w:sz w:val="24"/>
          <w:szCs w:val="24"/>
        </w:rPr>
        <w:t>CONJUNTAS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 xml:space="preserve"> de pesquisa científica e tecnológica e de desenvolvimento de tecnologia, produto, serviço ou processo para inovação (BRASIL, 200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>4). Também pode ser utilizado quando houver transferência de recursos financeiros do parceiro privado para o público, facultada a intermediação por Fundação de Apoio (PARANA, 2023). A forma de remuneração dos pesquisadores nesse tipo de interação poderá se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>r feita através de bolsas de estímulo à inovação (BRASIL. AGU, 2022a). A bolsa concedida se caracteriza como doação, não configurando vínculo empregatício e nem contraprestação de serviços e, por esse motivo, não integra a base de cálculo da contribuição p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 xml:space="preserve">revidenciária (BRASIL, 2004). De acordo com a lista de verificação elaborada pela Câmara Permanente da Ciência, Tecnologia e Inovação da Advocacia Geral da União (BRASIL. AGU, 2022b), os servidores públicos atuantes no acordo e cooperação de PD&amp;I precisam 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>atestar que não se encontram em situação de potencial conflito de interesse em relação à parceria privada, nos termos da Lei n° 12.813, de 16 de maio de 2013.</w:t>
      </w:r>
    </w:p>
    <w:p w14:paraId="00000007" w14:textId="77777777" w:rsidR="00877543" w:rsidRPr="009A24D3" w:rsidRDefault="00AB3A5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56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 w:rsidRPr="009A24D3">
        <w:rPr>
          <w:rFonts w:ascii="Arial" w:eastAsia="Arial Narrow" w:hAnsi="Arial" w:cs="Arial"/>
          <w:color w:val="000000"/>
          <w:sz w:val="24"/>
          <w:szCs w:val="24"/>
        </w:rPr>
        <w:t>A prestação de serviço técnico especializado possui característica acessória em relação à pesquis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 xml:space="preserve">a e envolve a aplicação de conhecimentos técnicos e científicos para resolver problemas, realizar análises, oferecer consultoria e assessoria, implementar soluções personalizadas, realizar avaliações/certificações com base em requisitos técnicos, promover 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>treinamento de pessoal ou prestar assistência técnica em áreas específicas do setor público e privado (BRASIL, 2004). As Instituições Científicas, Tecnológicas e de Inovação não estão autorizadas a aplicar o disposto na lei 10.973/2004 para qualquer tipo d</w:t>
      </w:r>
      <w:r w:rsidRPr="009A24D3">
        <w:rPr>
          <w:rFonts w:ascii="Arial" w:eastAsia="Arial Narrow" w:hAnsi="Arial" w:cs="Arial"/>
          <w:color w:val="000000"/>
          <w:sz w:val="24"/>
          <w:szCs w:val="24"/>
        </w:rPr>
        <w:t>e prestação de serviço, apenas para aquelas atividades voltadas à inovação e à pesquisa científica e tecnológica no ambiente produtivo (BRASIL. AGU, 2022c).</w:t>
      </w:r>
    </w:p>
    <w:p w14:paraId="00000008" w14:textId="77777777" w:rsidR="00877543" w:rsidRPr="009A24D3" w:rsidRDefault="00AB3A59">
      <w:pPr>
        <w:spacing w:line="360" w:lineRule="auto"/>
        <w:ind w:firstLine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lastRenderedPageBreak/>
        <w:t xml:space="preserve">Considerando que a prestação de serviço tecnológico não deve objetivar o desenvolvimento de uma inovação, a propriedade intelectual nesse tipo de parceria é de exclusividade do contratante que deverá remunerar a universidade através de uma contraprestação </w:t>
      </w:r>
      <w:r w:rsidRPr="009A24D3">
        <w:rPr>
          <w:rFonts w:ascii="Arial" w:eastAsia="Arial Narrow" w:hAnsi="Arial" w:cs="Arial"/>
          <w:sz w:val="24"/>
          <w:szCs w:val="24"/>
        </w:rPr>
        <w:t xml:space="preserve">financeira, econômica ou híbrida pelo serviço prestado. Todavia, se no decorrer da prestação de serviço emergir alguma inovação/criação, a ICT deve resguardar seu direito à </w:t>
      </w:r>
      <w:proofErr w:type="spellStart"/>
      <w:r w:rsidRPr="009A24D3">
        <w:rPr>
          <w:rFonts w:ascii="Arial" w:eastAsia="Arial Narrow" w:hAnsi="Arial" w:cs="Arial"/>
          <w:sz w:val="24"/>
          <w:szCs w:val="24"/>
        </w:rPr>
        <w:t>co-titularidade</w:t>
      </w:r>
      <w:proofErr w:type="spellEnd"/>
      <w:r w:rsidRPr="009A24D3">
        <w:rPr>
          <w:rFonts w:ascii="Arial" w:eastAsia="Arial Narrow" w:hAnsi="Arial" w:cs="Arial"/>
          <w:sz w:val="24"/>
          <w:szCs w:val="24"/>
        </w:rPr>
        <w:t xml:space="preserve"> da propriedade intelectual decorrente e esse resguardo deve constar</w:t>
      </w:r>
      <w:r w:rsidRPr="009A24D3">
        <w:rPr>
          <w:rFonts w:ascii="Arial" w:eastAsia="Arial Narrow" w:hAnsi="Arial" w:cs="Arial"/>
          <w:sz w:val="24"/>
          <w:szCs w:val="24"/>
        </w:rPr>
        <w:t xml:space="preserve"> no instrumento contratual jurídico.  Os pesquisadores e funcionários públicos envolvidos na atividade deverão ser remunerados através de verba variável, efetivada por Recibo de Pagamento Autônomo - RPA (</w:t>
      </w:r>
      <w:r w:rsidRPr="009A24D3">
        <w:rPr>
          <w:rFonts w:ascii="Arial" w:eastAsia="Arial Narrow" w:hAnsi="Arial" w:cs="Arial"/>
          <w:smallCaps/>
          <w:sz w:val="24"/>
          <w:szCs w:val="24"/>
        </w:rPr>
        <w:t>PARANÁ</w:t>
      </w:r>
      <w:r w:rsidRPr="009A24D3">
        <w:rPr>
          <w:rFonts w:ascii="Arial" w:eastAsia="Arial Narrow" w:hAnsi="Arial" w:cs="Arial"/>
          <w:sz w:val="24"/>
          <w:szCs w:val="24"/>
        </w:rPr>
        <w:t>, 2023; BRASIL. MCTI, 2023; BRASIL, 1995) e os</w:t>
      </w:r>
      <w:r w:rsidRPr="009A24D3">
        <w:rPr>
          <w:rFonts w:ascii="Arial" w:eastAsia="Arial Narrow" w:hAnsi="Arial" w:cs="Arial"/>
          <w:sz w:val="24"/>
          <w:szCs w:val="24"/>
        </w:rPr>
        <w:t xml:space="preserve"> discentes deverão ser contratados como estagiários.</w:t>
      </w:r>
    </w:p>
    <w:p w14:paraId="00000009" w14:textId="77777777" w:rsidR="00877543" w:rsidRPr="009A24D3" w:rsidRDefault="00AB3A59">
      <w:pPr>
        <w:spacing w:line="360" w:lineRule="auto"/>
        <w:ind w:firstLine="567"/>
        <w:jc w:val="both"/>
        <w:rPr>
          <w:rFonts w:ascii="Arial" w:eastAsia="Arial Narrow" w:hAnsi="Arial" w:cs="Arial"/>
          <w:b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ab/>
        <w:t xml:space="preserve">De acordo com o Guia do </w:t>
      </w:r>
      <w:proofErr w:type="spellStart"/>
      <w:proofErr w:type="gramStart"/>
      <w:r w:rsidRPr="009A24D3">
        <w:rPr>
          <w:rFonts w:ascii="Arial" w:eastAsia="Arial Narrow" w:hAnsi="Arial" w:cs="Arial"/>
          <w:sz w:val="24"/>
          <w:szCs w:val="24"/>
        </w:rPr>
        <w:t>Fortec</w:t>
      </w:r>
      <w:proofErr w:type="spellEnd"/>
      <w:r w:rsidRPr="009A24D3">
        <w:rPr>
          <w:rFonts w:ascii="Arial" w:eastAsia="Arial Narrow" w:hAnsi="Arial" w:cs="Arial"/>
          <w:sz w:val="24"/>
          <w:szCs w:val="24"/>
        </w:rPr>
        <w:t>,(</w:t>
      </w:r>
      <w:proofErr w:type="gramEnd"/>
      <w:r w:rsidRPr="009A24D3">
        <w:rPr>
          <w:rFonts w:ascii="Arial" w:eastAsia="Arial Narrow" w:hAnsi="Arial" w:cs="Arial"/>
          <w:sz w:val="24"/>
          <w:szCs w:val="24"/>
        </w:rPr>
        <w:t xml:space="preserve">BRASIL. MCTI, 2023) a diferença entre prestação de serviços e atividade conjunta de pesquisa desenvolvimento e inovação é </w:t>
      </w:r>
      <w:r w:rsidRPr="009A24D3">
        <w:rPr>
          <w:rFonts w:ascii="Arial" w:eastAsia="Arial Narrow" w:hAnsi="Arial" w:cs="Arial"/>
          <w:b/>
          <w:sz w:val="24"/>
          <w:szCs w:val="24"/>
        </w:rPr>
        <w:t>“que nestas últimas existe o intuito prévio de o</w:t>
      </w:r>
      <w:r w:rsidRPr="009A24D3">
        <w:rPr>
          <w:rFonts w:ascii="Arial" w:eastAsia="Arial Narrow" w:hAnsi="Arial" w:cs="Arial"/>
          <w:b/>
          <w:sz w:val="24"/>
          <w:szCs w:val="24"/>
        </w:rPr>
        <w:t>btenção de novo conhecimento ou desenvolvimento de nova tecnologia. Já as primeiras envolvem essencialmente a necessidade de geração de informação, aplicação de processos tecnológicos específicos ou avaliações/certificações com base em requisitos técnicos,</w:t>
      </w:r>
      <w:r w:rsidRPr="009A24D3">
        <w:rPr>
          <w:rFonts w:ascii="Arial" w:eastAsia="Arial Narrow" w:hAnsi="Arial" w:cs="Arial"/>
          <w:b/>
          <w:sz w:val="24"/>
          <w:szCs w:val="24"/>
        </w:rPr>
        <w:t xml:space="preserve"> padronizados ou não”.</w:t>
      </w:r>
    </w:p>
    <w:p w14:paraId="0000000A" w14:textId="77777777" w:rsidR="00877543" w:rsidRPr="009A24D3" w:rsidRDefault="00877543">
      <w:pPr>
        <w:spacing w:line="360" w:lineRule="auto"/>
        <w:jc w:val="both"/>
        <w:rPr>
          <w:rFonts w:ascii="Arial" w:eastAsia="Arial Narrow" w:hAnsi="Arial" w:cs="Arial"/>
          <w:b/>
          <w:sz w:val="24"/>
          <w:szCs w:val="24"/>
        </w:rPr>
      </w:pPr>
    </w:p>
    <w:p w14:paraId="0000000B" w14:textId="77777777" w:rsidR="00877543" w:rsidRPr="009A24D3" w:rsidRDefault="00AB3A59">
      <w:pPr>
        <w:spacing w:line="360" w:lineRule="auto"/>
        <w:jc w:val="both"/>
        <w:rPr>
          <w:rFonts w:ascii="Arial" w:eastAsia="Arial Narrow" w:hAnsi="Arial" w:cs="Arial"/>
          <w:b/>
          <w:sz w:val="24"/>
          <w:szCs w:val="24"/>
        </w:rPr>
      </w:pPr>
      <w:r w:rsidRPr="009A24D3">
        <w:rPr>
          <w:rFonts w:ascii="Arial" w:eastAsia="Arial Narrow" w:hAnsi="Arial" w:cs="Arial"/>
          <w:b/>
          <w:sz w:val="24"/>
          <w:szCs w:val="24"/>
        </w:rPr>
        <w:t>Referências</w:t>
      </w:r>
    </w:p>
    <w:p w14:paraId="0000000C" w14:textId="77777777" w:rsidR="00877543" w:rsidRPr="009A24D3" w:rsidRDefault="00877543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</w:p>
    <w:p w14:paraId="0000000D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AGU- Advocacia Geral da União. Câmara Permanente da Ciência, Tecnologia e Inovação – CP-CT&amp;I. Parecer n° 02/2023/CP-CT&amp;I/SUBCONSU/PGF/AGU. Acordo de parceria para pesquisa, desenvolvimento e inovação PD&amp;I. Brasí</w:t>
      </w:r>
      <w:r w:rsidRPr="009A24D3">
        <w:rPr>
          <w:rFonts w:ascii="Arial" w:eastAsia="Arial Narrow" w:hAnsi="Arial" w:cs="Arial"/>
          <w:sz w:val="24"/>
          <w:szCs w:val="24"/>
        </w:rPr>
        <w:t xml:space="preserve">lia: AGU, 2022a. Disponível em: </w:t>
      </w:r>
      <w:hyperlink r:id="rId7">
        <w:r w:rsidRPr="009A24D3">
          <w:rPr>
            <w:rFonts w:ascii="Arial" w:eastAsia="Arial Narrow" w:hAnsi="Arial" w:cs="Arial"/>
            <w:sz w:val="24"/>
            <w:szCs w:val="24"/>
            <w:u w:val="single"/>
          </w:rPr>
          <w:t>https://www.gov.br/agu/pt-br/composicao/procuradoria-geral-federal-1/subprocuradoria-federal-de-consultoria-juridica/camara-permanente-da-ciencia-tecnologia-e-inovacao-1/instrumentos-do-marco-legal-de-ct-i</w:t>
        </w:r>
        <w:r w:rsidRPr="009A24D3">
          <w:rPr>
            <w:rFonts w:ascii="Arial" w:eastAsia="Arial Narrow" w:hAnsi="Arial" w:cs="Arial"/>
            <w:sz w:val="24"/>
            <w:szCs w:val="24"/>
            <w:u w:val="single"/>
          </w:rPr>
          <w:t>/copy_of_PARECERn.000022023CPCTISUBCONSUPGFAGU.pdf</w:t>
        </w:r>
      </w:hyperlink>
      <w:r w:rsidRPr="009A24D3">
        <w:rPr>
          <w:rFonts w:ascii="Arial" w:eastAsia="Arial Narrow" w:hAnsi="Arial" w:cs="Arial"/>
          <w:sz w:val="24"/>
          <w:szCs w:val="24"/>
        </w:rPr>
        <w:t>. Acesso em: 19/01/2024.</w:t>
      </w:r>
    </w:p>
    <w:p w14:paraId="0000000E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AGU- Advocacia Geral da União. Câmara Permanente da Ciência, Tecnologia e Inovação – CP-CT&amp;I. Lista de verificação para acordo de parceria para pesquisa, desenvolvimento e inovação PD&amp;I. Brasília: AGU, 2022b. Disponível em:https://www.gov.br/agu/pt</w:t>
      </w:r>
      <w:r w:rsidRPr="009A24D3">
        <w:rPr>
          <w:rFonts w:ascii="Arial" w:eastAsia="Arial Narrow" w:hAnsi="Arial" w:cs="Arial"/>
          <w:sz w:val="24"/>
          <w:szCs w:val="24"/>
        </w:rPr>
        <w:t>-br/composicao/procuradoria-geral-federal-1/subprocuradoria-federal-de-consultoria-juridica/camara-permanente-da-ciencia-tecnologia-e-inovacao-1/Checklist.pdf</w:t>
      </w:r>
    </w:p>
    <w:p w14:paraId="0000000F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AGU - Advocacia Geral da União. Câmara Permanente da Ciência, Tecnologia e Inovação - CP-</w:t>
      </w:r>
      <w:r w:rsidRPr="009A24D3">
        <w:rPr>
          <w:rFonts w:ascii="Arial" w:eastAsia="Arial Narrow" w:hAnsi="Arial" w:cs="Arial"/>
          <w:sz w:val="24"/>
          <w:szCs w:val="24"/>
        </w:rPr>
        <w:t>CT&amp;I. Parecer nº 00001/2022/CP-</w:t>
      </w:r>
      <w:r w:rsidRPr="009A24D3">
        <w:rPr>
          <w:rFonts w:ascii="Arial" w:eastAsia="Arial Narrow" w:hAnsi="Arial" w:cs="Arial"/>
          <w:sz w:val="24"/>
          <w:szCs w:val="24"/>
        </w:rPr>
        <w:lastRenderedPageBreak/>
        <w:t>CT&amp;I/DEPCONSU/PGF/AGU. Contrato de prestação de serviços técnicos especializados nas atividades voltadas à inovação e à pesquisa científica e tecnológica. Brasília: AGU, 2022c. Disponível em: https://www.gov.br/agu/pt-br/comp</w:t>
      </w:r>
      <w:r w:rsidRPr="009A24D3">
        <w:rPr>
          <w:rFonts w:ascii="Arial" w:eastAsia="Arial Narrow" w:hAnsi="Arial" w:cs="Arial"/>
          <w:sz w:val="24"/>
          <w:szCs w:val="24"/>
        </w:rPr>
        <w:t xml:space="preserve">osicao/procuradoria-geral-federal-1/consultoria-juridica/camara-permanente-da-ciencia-tecnologia-e-inovacao-1/PARECERn.000012022CPCTIDEPCONSUPGFAGU.pdf. Acesso em: 20 jan. 2024 </w:t>
      </w:r>
    </w:p>
    <w:p w14:paraId="00000010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Lei nº 9.250, de 26 de dezembro de 1995. Altera a legislação do impost</w:t>
      </w:r>
      <w:r w:rsidRPr="009A24D3">
        <w:rPr>
          <w:rFonts w:ascii="Arial" w:eastAsia="Arial Narrow" w:hAnsi="Arial" w:cs="Arial"/>
          <w:sz w:val="24"/>
          <w:szCs w:val="24"/>
        </w:rPr>
        <w:t xml:space="preserve">o de renda das pessoas físicas e dá outras providências. Brasília, DF: Presidência da República, 1995. Disponível em: </w:t>
      </w:r>
      <w:hyperlink r:id="rId8">
        <w:r w:rsidRPr="009A24D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https://www.planalto.gov.br/ccivil_03/leis/l9250.htm</w:t>
        </w:r>
      </w:hyperlink>
      <w:r w:rsidRPr="009A24D3">
        <w:rPr>
          <w:rFonts w:ascii="Arial" w:hAnsi="Arial" w:cs="Arial"/>
          <w:sz w:val="24"/>
          <w:szCs w:val="24"/>
        </w:rPr>
        <w:t xml:space="preserve"> </w:t>
      </w:r>
      <w:r w:rsidRPr="009A24D3">
        <w:rPr>
          <w:rFonts w:ascii="Arial" w:eastAsia="Arial Narrow" w:hAnsi="Arial" w:cs="Arial"/>
          <w:sz w:val="24"/>
          <w:szCs w:val="24"/>
        </w:rPr>
        <w:t xml:space="preserve">  Acesso em: </w:t>
      </w:r>
      <w:r w:rsidRPr="009A24D3">
        <w:rPr>
          <w:rFonts w:ascii="Arial" w:eastAsia="Arial Narrow" w:hAnsi="Arial" w:cs="Arial"/>
          <w:sz w:val="24"/>
          <w:szCs w:val="24"/>
        </w:rPr>
        <w:t>26 fev. 2024.</w:t>
      </w:r>
    </w:p>
    <w:p w14:paraId="00000011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Lei nº 10.973, de 2 de dezembro de 2004. Dispõe sobre incentivos à inovação e à pesquisa tecnológica no ambiente produtivo e dá outras providências. Brasília, DF: Presidência da República, 2004. Disponível em: http://www.planalto.gov.</w:t>
      </w:r>
      <w:r w:rsidRPr="009A24D3">
        <w:rPr>
          <w:rFonts w:ascii="Arial" w:eastAsia="Arial Narrow" w:hAnsi="Arial" w:cs="Arial"/>
          <w:sz w:val="24"/>
          <w:szCs w:val="24"/>
        </w:rPr>
        <w:t>br/ccivil_03/_ato2004- 2006/2004/lei/l10.973.htm. Acesso em: 10 jan. 2024</w:t>
      </w:r>
    </w:p>
    <w:p w14:paraId="00000012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Lei nº 12.813, de 16 de maio de 2013. Dispõe sobre o conflito de interesses no exercício de cargo ou emprego do Poder Executivo federal e impedimentos posteriores ao exercíci</w:t>
      </w:r>
      <w:r w:rsidRPr="009A24D3">
        <w:rPr>
          <w:rFonts w:ascii="Arial" w:eastAsia="Arial Narrow" w:hAnsi="Arial" w:cs="Arial"/>
          <w:sz w:val="24"/>
          <w:szCs w:val="24"/>
        </w:rPr>
        <w:t xml:space="preserve">o do cargo ou emprego; e revoga dispositivos da Lei nº 9.986, de 18 de julho de 2000, e das Medidas Provisórias </w:t>
      </w:r>
      <w:proofErr w:type="spellStart"/>
      <w:r w:rsidRPr="009A24D3">
        <w:rPr>
          <w:rFonts w:ascii="Arial" w:eastAsia="Arial Narrow" w:hAnsi="Arial" w:cs="Arial"/>
          <w:sz w:val="24"/>
          <w:szCs w:val="24"/>
        </w:rPr>
        <w:t>nºs</w:t>
      </w:r>
      <w:proofErr w:type="spellEnd"/>
      <w:r w:rsidRPr="009A24D3">
        <w:rPr>
          <w:rFonts w:ascii="Arial" w:eastAsia="Arial Narrow" w:hAnsi="Arial" w:cs="Arial"/>
          <w:sz w:val="24"/>
          <w:szCs w:val="24"/>
        </w:rPr>
        <w:t xml:space="preserve"> 2.216-37, de 31 de agosto de 2001, e 2.225-45, de 4 de setembro de 2001.Brasília, DF: Presidência da República, 2013. Disponível em: </w:t>
      </w:r>
      <w:hyperlink r:id="rId9">
        <w:r w:rsidRPr="009A24D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https://www.planalto.gov.br/ccivil_03/_ato2011-2014/2013/lei/l12813.htm</w:t>
        </w:r>
      </w:hyperlink>
      <w:r w:rsidRPr="009A24D3">
        <w:rPr>
          <w:rFonts w:ascii="Arial" w:eastAsia="Arial Narrow" w:hAnsi="Arial" w:cs="Arial"/>
          <w:sz w:val="24"/>
          <w:szCs w:val="24"/>
        </w:rPr>
        <w:t xml:space="preserve"> Acesso em: 10 jan. 2024.</w:t>
      </w:r>
    </w:p>
    <w:p w14:paraId="00000013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>BRASIL. MCTI - Ministério da Ciência, Tecnologia, Inovações e Comunicações.</w:t>
      </w:r>
      <w:r w:rsidRPr="009A24D3">
        <w:rPr>
          <w:rFonts w:ascii="Arial" w:eastAsia="Arial Narrow" w:hAnsi="Arial" w:cs="Arial"/>
          <w:sz w:val="24"/>
          <w:szCs w:val="24"/>
        </w:rPr>
        <w:t xml:space="preserve"> Guia de orientação: prestação de serviço técnico especializado por </w:t>
      </w:r>
      <w:proofErr w:type="spellStart"/>
      <w:r w:rsidRPr="009A24D3">
        <w:rPr>
          <w:rFonts w:ascii="Arial" w:eastAsia="Arial Narrow" w:hAnsi="Arial" w:cs="Arial"/>
          <w:sz w:val="24"/>
          <w:szCs w:val="24"/>
        </w:rPr>
        <w:t>ICTs</w:t>
      </w:r>
      <w:proofErr w:type="spellEnd"/>
      <w:r w:rsidRPr="009A24D3">
        <w:rPr>
          <w:rFonts w:ascii="Arial" w:eastAsia="Arial Narrow" w:hAnsi="Arial" w:cs="Arial"/>
          <w:sz w:val="24"/>
          <w:szCs w:val="24"/>
        </w:rPr>
        <w:t xml:space="preserve"> públicas. Nos termos do Marco Legal de Ciência, Tecnologia e Inovação. Brasília: MCTIC, 2023. Disponível em: </w:t>
      </w:r>
      <w:proofErr w:type="gramStart"/>
      <w:r w:rsidRPr="009A24D3">
        <w:rPr>
          <w:rFonts w:ascii="Arial" w:eastAsia="Arial Narrow" w:hAnsi="Arial" w:cs="Arial"/>
          <w:color w:val="0000FF"/>
          <w:sz w:val="24"/>
          <w:szCs w:val="24"/>
          <w:u w:val="single"/>
        </w:rPr>
        <w:t>https://fortec.org.br/2023/03/26/guia-prestac%cc%a7a%cc%83o-de-servic%cc%a</w:t>
      </w:r>
      <w:r w:rsidRPr="009A24D3">
        <w:rPr>
          <w:rFonts w:ascii="Arial" w:eastAsia="Arial Narrow" w:hAnsi="Arial" w:cs="Arial"/>
          <w:color w:val="0000FF"/>
          <w:sz w:val="24"/>
          <w:szCs w:val="24"/>
          <w:u w:val="single"/>
        </w:rPr>
        <w:t>7os-tecnicos-especializados-por-icts-publicas/</w:t>
      </w:r>
      <w:r w:rsidRPr="009A24D3">
        <w:rPr>
          <w:rFonts w:ascii="Arial" w:eastAsia="Arial Narrow" w:hAnsi="Arial" w:cs="Arial"/>
          <w:sz w:val="24"/>
          <w:szCs w:val="24"/>
        </w:rPr>
        <w:t xml:space="preserve">  Acesso</w:t>
      </w:r>
      <w:proofErr w:type="gramEnd"/>
      <w:r w:rsidRPr="009A24D3">
        <w:rPr>
          <w:rFonts w:ascii="Arial" w:eastAsia="Arial Narrow" w:hAnsi="Arial" w:cs="Arial"/>
          <w:sz w:val="24"/>
          <w:szCs w:val="24"/>
        </w:rPr>
        <w:t xml:space="preserve"> em: 10 jan. 2024.</w:t>
      </w:r>
    </w:p>
    <w:p w14:paraId="00000014" w14:textId="77777777" w:rsidR="00877543" w:rsidRPr="009A24D3" w:rsidRDefault="00AB3A59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9A24D3">
        <w:rPr>
          <w:rFonts w:ascii="Arial" w:eastAsia="Arial Narrow" w:hAnsi="Arial" w:cs="Arial"/>
          <w:sz w:val="24"/>
          <w:szCs w:val="24"/>
        </w:rPr>
        <w:t xml:space="preserve">PARANA. Decreto 1350 - 11 DE ABRIL DE 2023. Regulamenta o disposto na Lei nº 20.541, de 20 de abril de 2021 e nos </w:t>
      </w:r>
      <w:proofErr w:type="spellStart"/>
      <w:r w:rsidRPr="009A24D3">
        <w:rPr>
          <w:rFonts w:ascii="Arial" w:eastAsia="Arial Narrow" w:hAnsi="Arial" w:cs="Arial"/>
          <w:sz w:val="24"/>
          <w:szCs w:val="24"/>
        </w:rPr>
        <w:t>arts</w:t>
      </w:r>
      <w:proofErr w:type="spellEnd"/>
      <w:r w:rsidRPr="009A24D3">
        <w:rPr>
          <w:rFonts w:ascii="Arial" w:eastAsia="Arial Narrow" w:hAnsi="Arial" w:cs="Arial"/>
          <w:sz w:val="24"/>
          <w:szCs w:val="24"/>
        </w:rPr>
        <w:t>. 128, 208 e 285 da Lei nº 6.174, de 16 de novembro de 1970, para</w:t>
      </w:r>
      <w:r w:rsidRPr="009A24D3">
        <w:rPr>
          <w:rFonts w:ascii="Arial" w:eastAsia="Arial Narrow" w:hAnsi="Arial" w:cs="Arial"/>
          <w:sz w:val="24"/>
          <w:szCs w:val="24"/>
        </w:rPr>
        <w:t xml:space="preserve"> estabelecer medidas de incentivo à inovação e à pesquisa científica e tecnológica no ambiente produtivo, com vistas à capacitação tecnológica, ao alcance da autonomia tecnológica e ao desenvolvimento do sistema produtivo nacional e regional. Disponível em</w:t>
      </w:r>
      <w:r w:rsidRPr="009A24D3">
        <w:rPr>
          <w:rFonts w:ascii="Arial" w:eastAsia="Arial Narrow" w:hAnsi="Arial" w:cs="Arial"/>
          <w:sz w:val="24"/>
          <w:szCs w:val="24"/>
        </w:rPr>
        <w:t xml:space="preserve">: </w:t>
      </w:r>
      <w:hyperlink r:id="rId10">
        <w:r w:rsidRPr="009A24D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https://leisestaduais.com.br/pr/decreto-n-1350-2023-parana</w:t>
        </w:r>
        <w:r w:rsidRPr="009A24D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-regulamenta-o-disposto-na-lei-no-20-541-de-20-de-abril-de-2021-e-nos-arts-128-208-e-285-da-lei-no-6-174-de-16-de-novembro-de-1970-para-estabelecer-medidas-de-incentivo-a-inovacao-e-a-pesquisa-cientifica-e-tecnologica-no-ambiente-produtivo-com-vistas-a-cap</w:t>
        </w:r>
        <w:r w:rsidRPr="009A24D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acitacao-tecnologica-ao-alcance-da-autonomia-tecnologica-e-ao-desenvolvimento-do-sistema-produtivo-nacional-e-regional</w:t>
        </w:r>
      </w:hyperlink>
      <w:r w:rsidRPr="009A24D3">
        <w:rPr>
          <w:rFonts w:ascii="Arial" w:eastAsia="Arial Narrow" w:hAnsi="Arial" w:cs="Arial"/>
          <w:sz w:val="24"/>
          <w:szCs w:val="24"/>
        </w:rPr>
        <w:t xml:space="preserve"> Acesso em: 10 jan. 2024.</w:t>
      </w:r>
    </w:p>
    <w:p w14:paraId="00000015" w14:textId="77777777" w:rsidR="00877543" w:rsidRPr="009A24D3" w:rsidRDefault="00877543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</w:p>
    <w:sectPr w:rsidR="00877543" w:rsidRPr="009A24D3">
      <w:headerReference w:type="default" r:id="rId11"/>
      <w:footerReference w:type="default" r:id="rId12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FB57" w14:textId="77777777" w:rsidR="00AB3A59" w:rsidRDefault="00AB3A59">
      <w:r>
        <w:separator/>
      </w:r>
    </w:p>
  </w:endnote>
  <w:endnote w:type="continuationSeparator" w:id="0">
    <w:p w14:paraId="24883D3F" w14:textId="77777777" w:rsidR="00AB3A59" w:rsidRDefault="00AB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48607A8" w:rsidR="00877543" w:rsidRDefault="008775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0000001F" w14:textId="51378AAC" w:rsidR="00877543" w:rsidRDefault="00AB3A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9A24D3">
      <w:rPr>
        <w:color w:val="808080"/>
        <w:sz w:val="14"/>
        <w:szCs w:val="14"/>
      </w:rPr>
      <w:t>5473</w:t>
    </w:r>
  </w:p>
  <w:p w14:paraId="00000020" w14:textId="723E9AB7" w:rsidR="00877543" w:rsidRDefault="00AB3A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9A24D3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00000021" w14:textId="77C011A1" w:rsidR="00877543" w:rsidRDefault="00AB3A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78DC" w14:textId="77777777" w:rsidR="00AB3A59" w:rsidRDefault="00AB3A59">
      <w:r>
        <w:separator/>
      </w:r>
    </w:p>
  </w:footnote>
  <w:footnote w:type="continuationSeparator" w:id="0">
    <w:p w14:paraId="21FF9F6C" w14:textId="77777777" w:rsidR="00AB3A59" w:rsidRDefault="00AB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9A24D3" w14:paraId="04E731F6" w14:textId="77777777" w:rsidTr="009A24D3">
      <w:tc>
        <w:tcPr>
          <w:tcW w:w="1271" w:type="dxa"/>
          <w:vAlign w:val="center"/>
        </w:tcPr>
        <w:p w14:paraId="356529F2" w14:textId="77777777" w:rsidR="009A24D3" w:rsidRDefault="009A24D3" w:rsidP="009A24D3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31" w:dyaOrig="802" w14:anchorId="659F90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565" r:id="rId2"/>
            </w:object>
          </w:r>
        </w:p>
      </w:tc>
      <w:tc>
        <w:tcPr>
          <w:tcW w:w="5812" w:type="dxa"/>
          <w:vAlign w:val="center"/>
        </w:tcPr>
        <w:p w14:paraId="0506F4BF" w14:textId="77777777" w:rsidR="009A24D3" w:rsidRPr="00FB6BB0" w:rsidRDefault="009A24D3" w:rsidP="009A24D3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76E7EFF7" w14:textId="77777777" w:rsidR="009A24D3" w:rsidRPr="00FB6BB0" w:rsidRDefault="009A24D3" w:rsidP="009A24D3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3AEDD9DB" w14:textId="77777777" w:rsidR="009A24D3" w:rsidRPr="00FB6BB0" w:rsidRDefault="009A24D3" w:rsidP="009A24D3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51CB7B9A" w14:textId="77777777" w:rsidR="009A24D3" w:rsidRPr="00117175" w:rsidRDefault="009A24D3" w:rsidP="009A24D3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0651A302" w14:textId="77777777" w:rsidR="009A24D3" w:rsidRDefault="009A24D3" w:rsidP="009A24D3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215BB470" wp14:editId="5625F54B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24D3" w14:paraId="38D36879" w14:textId="77777777" w:rsidTr="00F02382">
      <w:tc>
        <w:tcPr>
          <w:tcW w:w="1271" w:type="dxa"/>
          <w:vAlign w:val="center"/>
        </w:tcPr>
        <w:p w14:paraId="3474609E" w14:textId="77777777" w:rsidR="009A24D3" w:rsidRPr="008F60AD" w:rsidRDefault="009A24D3" w:rsidP="009A24D3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6FAB545A" w14:textId="77777777" w:rsidR="009A24D3" w:rsidRPr="00FB6BB0" w:rsidRDefault="009A24D3" w:rsidP="009A24D3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1AD0016D" w14:textId="77777777" w:rsidR="009A24D3" w:rsidRDefault="009A24D3" w:rsidP="009A24D3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0000001D" w14:textId="1E7157F5" w:rsidR="00877543" w:rsidRDefault="009A24D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editId="7D481F40">
          <wp:simplePos x="0" y="0"/>
          <wp:positionH relativeFrom="page">
            <wp:align>center</wp:align>
          </wp:positionH>
          <wp:positionV relativeFrom="paragraph">
            <wp:posOffset>2441407</wp:posOffset>
          </wp:positionV>
          <wp:extent cx="3287395" cy="3840480"/>
          <wp:effectExtent l="0" t="0" r="8255" b="762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43"/>
    <w:rsid w:val="00877543"/>
    <w:rsid w:val="009A24D3"/>
    <w:rsid w:val="00AB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E561"/>
  <w15:docId w15:val="{C307C3DD-BB08-462E-93AE-59CCBF5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1A"/>
  </w:style>
  <w:style w:type="paragraph" w:styleId="Ttulo1">
    <w:name w:val="heading 1"/>
    <w:basedOn w:val="Normal"/>
    <w:next w:val="Normal"/>
    <w:uiPriority w:val="9"/>
    <w:qFormat/>
    <w:rsid w:val="00C1081A"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1081A"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1081A"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1081A"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1081A"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C1081A"/>
    <w:pPr>
      <w:jc w:val="center"/>
    </w:pPr>
    <w:rPr>
      <w:b/>
      <w:i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rsid w:val="00C1081A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rsid w:val="00C1081A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qFormat/>
    <w:rsid w:val="00C1081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1081A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C1081A"/>
    <w:pPr>
      <w:ind w:firstLine="3060"/>
      <w:jc w:val="both"/>
    </w:pPr>
    <w:rPr>
      <w:rFonts w:ascii="Arial" w:hAnsi="Arial" w:cs="Arial"/>
    </w:rPr>
  </w:style>
  <w:style w:type="paragraph" w:styleId="Corpodetexto">
    <w:name w:val="Body Text"/>
    <w:basedOn w:val="Normal"/>
    <w:rsid w:val="00C1081A"/>
    <w:pPr>
      <w:spacing w:after="120"/>
    </w:pPr>
  </w:style>
  <w:style w:type="paragraph" w:customStyle="1" w:styleId="A-Item">
    <w:name w:val="A-Item"/>
    <w:basedOn w:val="Normal"/>
    <w:rsid w:val="00C1081A"/>
    <w:pPr>
      <w:spacing w:before="120"/>
      <w:ind w:left="1645" w:hanging="709"/>
      <w:jc w:val="both"/>
    </w:pPr>
    <w:rPr>
      <w:rFonts w:ascii="Arial" w:hAnsi="Arial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sz w:val="24"/>
      <w:szCs w:val="24"/>
    </w:rPr>
  </w:style>
  <w:style w:type="paragraph" w:styleId="MapadoDocumento">
    <w:name w:val="Document Map"/>
    <w:basedOn w:val="Normal"/>
    <w:semiHidden/>
    <w:rsid w:val="00C1081A"/>
    <w:pPr>
      <w:shd w:val="clear" w:color="auto" w:fill="000080"/>
    </w:pPr>
    <w:rPr>
      <w:rFonts w:ascii="Tahoma" w:hAnsi="Tahoma" w:cs="Tahoma"/>
    </w:rPr>
  </w:style>
  <w:style w:type="paragraph" w:styleId="Textodenotaderodap">
    <w:name w:val="footnote text"/>
    <w:basedOn w:val="Normal"/>
    <w:semiHidden/>
    <w:rsid w:val="00D30119"/>
  </w:style>
  <w:style w:type="character" w:styleId="Refdenotaderodap">
    <w:name w:val="footnote reference"/>
    <w:semiHidden/>
    <w:rsid w:val="00D30119"/>
    <w:rPr>
      <w:vertAlign w:val="superscript"/>
    </w:rPr>
  </w:style>
  <w:style w:type="character" w:styleId="Hyperlink">
    <w:name w:val="Hyperlink"/>
    <w:rsid w:val="006A075F"/>
    <w:rPr>
      <w:color w:val="0000FF"/>
      <w:u w:val="single"/>
    </w:rPr>
  </w:style>
  <w:style w:type="paragraph" w:styleId="Textodebalo">
    <w:name w:val="Balloon Text"/>
    <w:basedOn w:val="Normal"/>
    <w:semiHidden/>
    <w:rsid w:val="001418A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383D7E"/>
    <w:rPr>
      <w:rFonts w:ascii="Consolas" w:hAnsi="Consolas"/>
      <w:sz w:val="21"/>
      <w:szCs w:val="21"/>
      <w:lang w:val="en-US" w:eastAsia="en-US"/>
    </w:rPr>
  </w:style>
  <w:style w:type="character" w:customStyle="1" w:styleId="TextosemFormataoChar">
    <w:name w:val="Texto sem Formatação Char"/>
    <w:link w:val="TextosemFormatao"/>
    <w:locked/>
    <w:rsid w:val="00383D7E"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rsid w:val="00383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rsid w:val="007B575D"/>
    <w:pPr>
      <w:spacing w:before="240" w:after="120"/>
      <w:ind w:left="936" w:hanging="936"/>
      <w:jc w:val="both"/>
    </w:pPr>
    <w:rPr>
      <w:rFonts w:ascii="Arial" w:hAnsi="Arial"/>
    </w:rPr>
  </w:style>
  <w:style w:type="table" w:styleId="Tabelacomgrade">
    <w:name w:val="Table Grid"/>
    <w:basedOn w:val="Tabelanormal"/>
    <w:uiPriority w:val="59"/>
    <w:qFormat/>
    <w:rsid w:val="00C2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53FAA"/>
  </w:style>
  <w:style w:type="character" w:styleId="nfase">
    <w:name w:val="Emphasis"/>
    <w:basedOn w:val="Fontepargpadro"/>
    <w:qFormat/>
    <w:rsid w:val="00CB003A"/>
    <w:rPr>
      <w:i/>
      <w:iCs/>
    </w:rPr>
  </w:style>
  <w:style w:type="paragraph" w:styleId="PargrafodaLista">
    <w:name w:val="List Paragraph"/>
    <w:basedOn w:val="Normal"/>
    <w:uiPriority w:val="34"/>
    <w:qFormat/>
    <w:rsid w:val="00CE77DB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AE3A37"/>
    <w:pPr>
      <w:spacing w:after="200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7C1A17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9A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l9250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copy_of_PARECERn.000022023CPCTISUBCONSUPGFAG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eisestaduais.com.br/pr/decreto-n-1350-2023-parana-regulamenta-o-disposto-na-lei-no-20-541-de-20-de-abril-de-2021-e-nos-arts-128-208-e-285-da-lei-no-6-174-de-16-de-novembro-de-1970-para-estabelecer-medidas-de-incentivo-a-inovacao-e-a-pesquisa-cientifica-e-tecnologica-no-ambiente-produtivo-com-vistas-a-capacitacao-tecnologica-ao-alcance-da-autonomia-tecnologica-e-ao-desenvolvimento-do-sistema-produtivo-nacional-e-regio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_ato2011-2014/2013/lei/l12813.ht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ELViUqUCGO9fu630OMl4ZCwiQ==">CgMxLjAyCGguZ2pkZ3hzMgloLjMwajB6bGw4AHIhMU5MYVZKajR2cUJFcnpDUnBtZjdHREZKci0ybW5VR3dH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1264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2</cp:revision>
  <dcterms:created xsi:type="dcterms:W3CDTF">2024-01-29T13:52:00Z</dcterms:created>
  <dcterms:modified xsi:type="dcterms:W3CDTF">2026-08-21T14:06:00Z</dcterms:modified>
</cp:coreProperties>
</file>